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adjustRightInd w:val="0"/>
        <w:snapToGrid w:val="0"/>
        <w:spacing w:before="480" w:beforeLines="0" w:after="240" w:afterLines="0" w:line="580" w:lineRule="exact"/>
        <w:rPr>
          <w:rFonts w:hint="eastAsia"/>
        </w:rPr>
      </w:pPr>
      <w:r>
        <w:rPr>
          <w:rFonts w:hint="eastAsia"/>
        </w:rPr>
        <w:t>江苏省互联网宗教信息审核人员</w:t>
      </w:r>
      <w:r>
        <w:br w:type="textWrapping"/>
      </w:r>
      <w:r>
        <w:rPr>
          <w:rFonts w:hint="eastAsia"/>
        </w:rPr>
        <w:t>宗教政策法规和相关宗教知识学习范围</w:t>
      </w:r>
    </w:p>
    <w:p>
      <w:pPr>
        <w:pStyle w:val="6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一、习近平新时代中国特色社会主义思想</w:t>
      </w:r>
    </w:p>
    <w:p>
      <w:pPr>
        <w:pStyle w:val="6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二、习近平法治思想</w:t>
      </w:r>
    </w:p>
    <w:p>
      <w:pPr>
        <w:pStyle w:val="6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三、社会主义核心价值观</w:t>
      </w:r>
    </w:p>
    <w:p>
      <w:pPr>
        <w:pStyle w:val="6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四、习近平总书记关于宗教工作的重要论述</w:t>
      </w:r>
    </w:p>
    <w:p>
      <w:pPr>
        <w:pStyle w:val="6"/>
        <w:adjustRightInd w:val="0"/>
        <w:snapToGrid w:val="0"/>
        <w:spacing w:line="580" w:lineRule="exact"/>
        <w:rPr>
          <w:rFonts w:hint="eastAsia"/>
        </w:rPr>
      </w:pPr>
      <w:r>
        <w:t>五</w:t>
      </w:r>
      <w:r>
        <w:rPr>
          <w:rFonts w:hint="eastAsia"/>
        </w:rPr>
        <w:t>、宗教</w:t>
      </w:r>
      <w:r>
        <w:t>事务相关</w:t>
      </w:r>
      <w:r>
        <w:rPr>
          <w:rFonts w:hint="eastAsia"/>
        </w:rPr>
        <w:t>法规和规章</w:t>
      </w:r>
    </w:p>
    <w:p>
      <w:pPr>
        <w:pStyle w:val="7"/>
        <w:adjustRightInd w:val="0"/>
        <w:snapToGrid w:val="0"/>
        <w:spacing w:line="580" w:lineRule="exact"/>
      </w:pPr>
      <w:r>
        <w:rPr>
          <w:rFonts w:hint="eastAsia"/>
        </w:rPr>
        <w:t>《宗教事务条例》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《江苏省宗教事务条例》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《中华人民共和国境内外国人宗教活动管理规定》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《中华人民共和国境内外国人宗教活动管理规定实施细则》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《互联网宗教信息服务管理办法》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《宗教活动场所设立审批和登记办法》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《藏传佛教活佛转世管理办法》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《宗教活动场所财务监督管理办法（试行）》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《藏传佛教寺庙管理办法》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《国家宗教事务局关于修订&lt;中华人民共和国境内外国人宗教活动管理规定实施细则&gt;的决定》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《宗教院校教师资格认定和职称评审聘任办法（试行）》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《宗教院校学位授予办法》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《藏传佛教学衔授予办法（试行）》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《宗教团体管理办法》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《伊斯兰教朝觐事务管理办法》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《宗教教职人员管理办法》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《宗教院校管理办法》</w:t>
      </w:r>
    </w:p>
    <w:p>
      <w:pPr>
        <w:pStyle w:val="6"/>
        <w:adjustRightInd w:val="0"/>
        <w:snapToGrid w:val="0"/>
        <w:spacing w:line="580" w:lineRule="exact"/>
        <w:rPr>
          <w:rFonts w:hint="eastAsia"/>
        </w:rPr>
      </w:pPr>
      <w:r>
        <w:t>六</w:t>
      </w:r>
      <w:r>
        <w:rPr>
          <w:rFonts w:hint="eastAsia"/>
        </w:rPr>
        <w:t>、宗教知识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中国佛教基础知识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中国道教基础知识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中国伊斯兰教基础知识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中国天主教基础知识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中国基督教基础知识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以上知识可以参阅宗教文化出版社出版的“宗教工作应知应会”丛书。</w:t>
      </w:r>
    </w:p>
    <w:p>
      <w:pPr>
        <w:pStyle w:val="6"/>
        <w:adjustRightInd w:val="0"/>
        <w:snapToGrid w:val="0"/>
        <w:spacing w:line="580" w:lineRule="exact"/>
        <w:rPr>
          <w:rFonts w:hint="eastAsia"/>
        </w:rPr>
      </w:pPr>
      <w:r>
        <w:t>七</w:t>
      </w:r>
      <w:r>
        <w:rPr>
          <w:rFonts w:hint="eastAsia"/>
        </w:rPr>
        <w:t>、其他相关知识</w:t>
      </w:r>
    </w:p>
    <w:p>
      <w:pPr>
        <w:pStyle w:val="7"/>
        <w:adjustRightInd w:val="0"/>
        <w:snapToGrid w:val="0"/>
        <w:spacing w:line="580" w:lineRule="exact"/>
        <w:rPr>
          <w:rFonts w:hint="eastAsia"/>
        </w:rPr>
      </w:pPr>
      <w:r>
        <w:rPr>
          <w:rFonts w:hint="eastAsia"/>
        </w:rPr>
        <w:t>《宪法》《民法典》《国旗法》《国歌法》《国徽法》《反恐怖主义法》《国家安全法》《网络安全法》《个人信息保护法》等法律法规。</w:t>
      </w:r>
    </w:p>
    <w:p>
      <w:bookmarkStart w:id="0" w:name="_GoBack"/>
      <w:bookmarkEnd w:id="0"/>
    </w:p>
    <w:sectPr>
      <w:pgSz w:w="11907" w:h="16840"/>
      <w:pgMar w:top="2041" w:right="1474" w:bottom="1985" w:left="1474" w:header="851" w:footer="1389" w:gutter="0"/>
      <w:cols w:space="720" w:num="1"/>
      <w:docGrid w:type="linesAndChars" w:linePitch="312" w:charSpace="-28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宋黑_GBK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203C8D"/>
    <w:rsid w:val="0920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宋黑_GBK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5">
    <w:name w:val="公文标题"/>
    <w:basedOn w:val="1"/>
    <w:next w:val="1"/>
    <w:qFormat/>
    <w:uiPriority w:val="0"/>
    <w:pPr>
      <w:widowControl w:val="0"/>
      <w:pBdr>
        <w:bottom w:val="none" w:color="auto" w:sz="0" w:space="0"/>
      </w:pBdr>
      <w:spacing w:before="200" w:beforeLines="200" w:after="100" w:afterLines="100" w:line="720" w:lineRule="exact"/>
      <w:ind w:firstLine="0"/>
      <w:jc w:val="center"/>
      <w:outlineLvl w:val="9"/>
    </w:pPr>
    <w:rPr>
      <w:rFonts w:ascii="Times New Roman" w:hAnsi="Times New Roman" w:eastAsia="方正小标宋_GBK" w:cs="Times New Roman"/>
      <w:bCs/>
      <w:color w:val="auto"/>
      <w:spacing w:val="0"/>
      <w:kern w:val="0"/>
      <w:sz w:val="44"/>
      <w:szCs w:val="32"/>
      <w:lang w:val="en-US" w:eastAsia="zh-CN" w:bidi="ar-SA"/>
    </w:rPr>
  </w:style>
  <w:style w:type="paragraph" w:customStyle="1" w:styleId="6">
    <w:name w:val="公文一级标题"/>
    <w:basedOn w:val="1"/>
    <w:qFormat/>
    <w:uiPriority w:val="0"/>
    <w:pPr>
      <w:keepNext/>
      <w:keepLines w:val="0"/>
      <w:widowControl w:val="0"/>
      <w:spacing w:line="360" w:lineRule="auto"/>
      <w:ind w:firstLine="200" w:firstLineChars="200"/>
      <w:jc w:val="both"/>
      <w:outlineLvl w:val="0"/>
    </w:pPr>
    <w:rPr>
      <w:rFonts w:ascii="Times New Roman" w:hAnsi="Times New Roman" w:eastAsia="方正黑体_GBK" w:cs="Times New Roman"/>
      <w:bCs/>
      <w:kern w:val="0"/>
      <w:sz w:val="32"/>
      <w:szCs w:val="44"/>
      <w:lang w:val="en-US" w:eastAsia="zh-CN" w:bidi="ar-SA"/>
    </w:rPr>
  </w:style>
  <w:style w:type="paragraph" w:customStyle="1" w:styleId="7">
    <w:name w:val="公文正文"/>
    <w:basedOn w:val="1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2022-02-28T08:03:00Z</dcterms:created>
  <dc:creator>联想</dc:creator>
  <cp:lastModifiedBy>联想</cp:lastModifiedBy>
  <dcterms:modified xsi:type="dcterms:W3CDTF">2022-02-28T08:03:56Z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