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0"/>
        <w:jc w:val="center"/>
        <w:rPr>
          <w:rFonts w:ascii="方正小标宋_GBK" w:eastAsia="方正小标宋_GBK" w:hint="eastAsia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int="eastAsia"/>
          <w:sz w:val="44"/>
          <w:szCs w:val="44"/>
        </w:rPr>
        <w:t>评选条件</w:t>
      </w:r>
    </w:p>
    <w:p>
      <w:pPr>
        <w:ind w:firstLineChars="200" w:firstLine="640"/>
        <w:jc w:val="center"/>
        <w:rPr>
          <w:rFonts w:ascii="方正黑体_GBK" w:eastAsia="方正黑体_GBK" w:hint="eastAsia"/>
        </w:rPr>
      </w:pP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="482"/>
        <w:jc w:val="left"/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</w:pPr>
      <w:r>
        <w:rPr>
          <w:rStyle w:val="87"/>
          <w:rFonts w:ascii="方正楷体_GBK" w:eastAsia="方正楷体_GBK" w:hint="eastAsia"/>
          <w:b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  <w:bdr w:val="none" w:sz="0" w:space="0" w:color="auto"/>
        </w:rPr>
        <w:t>（一）党建工作好。</w:t>
      </w:r>
      <w:r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  <w:t>坚持党建引领发展，党的建设标准写入章程，党的组织建设到位，党的工作落实到位，党组织参与重大问题决策，党的政治核心和党员先锋模范作用突出。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="482"/>
        <w:jc w:val="left"/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</w:pPr>
      <w:r>
        <w:rPr>
          <w:rStyle w:val="87"/>
          <w:rFonts w:ascii="方正楷体_GBK" w:eastAsia="方正楷体_GBK" w:hint="eastAsia"/>
          <w:b w:val="0"/>
          <w:bCs/>
          <w:color w:val="333333"/>
          <w:sz w:val="32"/>
          <w:szCs w:val="32"/>
          <w:bdr w:val="none" w:sz="0" w:space="0" w:color="auto"/>
        </w:rPr>
        <w:t>（二）内部治理好。</w:t>
      </w:r>
      <w:r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  <w:t>坚持依法自主办会，组织机构健全，领导班子团结，党建、人事、资产、财务、活动等内部管理制度完善，信息公开透明，自身建设规范，内部治理有序。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="482"/>
        <w:jc w:val="left"/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</w:pPr>
      <w:r>
        <w:rPr>
          <w:rStyle w:val="87"/>
          <w:rFonts w:ascii="方正楷体_GBK" w:eastAsia="方正楷体_GBK" w:hint="eastAsia"/>
          <w:b w:val="0"/>
          <w:bCs/>
          <w:color w:val="333333"/>
          <w:sz w:val="32"/>
          <w:szCs w:val="32"/>
          <w:bdr w:val="none" w:sz="0" w:space="0" w:color="auto"/>
        </w:rPr>
        <w:t>（三）运作机制好。</w:t>
      </w:r>
      <w:r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  <w:t>坚持按照章程办事，法人治理结构和运行机制健全，决策管理科学民主，业务活动贴近需求，接受监督主动自觉，工作运转规范高效，近3年年度检查合格。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right="0" w:firstLine="482"/>
        <w:jc w:val="left"/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</w:pPr>
      <w:r>
        <w:rPr>
          <w:rStyle w:val="87"/>
          <w:rFonts w:ascii="方正楷体_GBK" w:eastAsia="方正楷体_GBK" w:hint="eastAsia"/>
          <w:b w:val="0"/>
          <w:bCs/>
          <w:color w:val="333333"/>
          <w:sz w:val="32"/>
          <w:szCs w:val="32"/>
          <w:bdr w:val="none" w:sz="0" w:space="0" w:color="auto"/>
        </w:rPr>
        <w:t>（四）功能作用好。</w:t>
      </w:r>
      <w:r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  <w:t>坚持围绕中心、服务大局，充分利用自身独特优势，主动参与乡村振兴、长江经济带发展等重大战略，在服务地方经济社会发展中作出积极贡献。</w:t>
      </w:r>
    </w:p>
    <w:p>
      <w:pPr>
        <w:pStyle w:val="92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spacing w:before="0" w:beforeAutospacing="0" w:after="0" w:afterAutospacing="0" w:line="560" w:lineRule="exact"/>
        <w:ind w:left="0" w:firstLine="482"/>
      </w:pPr>
      <w:r>
        <w:rPr>
          <w:rStyle w:val="87"/>
          <w:rFonts w:ascii="方正楷体_GBK" w:eastAsia="方正楷体_GBK" w:hint="eastAsia"/>
          <w:b w:val="0"/>
          <w:bCs/>
          <w:color w:val="333333"/>
          <w:sz w:val="32"/>
          <w:szCs w:val="32"/>
          <w:bdr w:val="none" w:sz="0" w:space="0" w:color="auto"/>
        </w:rPr>
        <w:t>（五）社会影响好。</w:t>
      </w:r>
      <w:r>
        <w:rPr>
          <w:rFonts w:ascii="方正仿宋_GBK" w:eastAsia="方正仿宋_GBK" w:hint="eastAsia"/>
          <w:b w:val="0"/>
          <w:bCs w:val="0"/>
          <w:i w:val="0"/>
          <w:iCs w:val="0"/>
          <w:caps w:val="0"/>
          <w:smallCaps w:val="0"/>
          <w:vanish w:val="0"/>
          <w:color w:val="333333"/>
          <w:spacing w:val="0"/>
          <w:sz w:val="32"/>
          <w:szCs w:val="32"/>
        </w:rPr>
        <w:t>坚持非营利宗旨和诚信自律原则，模范遵纪守法，积极履行社会责任，品牌影响力大，社会公信度高，评估等级4A及以上，且获评等级在有效期内。</w:t>
      </w: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firstLineChars="200" w:firstLine="640"/>
        <w:rPr>
          <w:rFonts w:ascii="方正黑体_GBK" w:eastAsia="方正黑体_GBK"/>
        </w:rPr>
      </w:pP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/>
        <w:jc w:val="center"/>
        <w:rPr>
          <w:rFonts w:ascii="方正黑体_GBK" w:eastAsia="方正黑体_GBK"/>
        </w:rPr>
      </w:pP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/>
        <w:jc w:val="center"/>
        <w:rPr>
          <w:rFonts w:ascii="方正黑体_GBK" w:eastAsia="方正黑体_GBK"/>
        </w:rPr>
      </w:pP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/>
        <w:jc w:val="center"/>
        <w:rPr>
          <w:rFonts w:ascii="方正黑体_GBK" w:eastAsia="方正黑体_GBK"/>
        </w:rPr>
      </w:pP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/>
        <w:jc w:val="center"/>
        <w:rPr>
          <w:rFonts w:ascii="方正黑体_GBK" w:eastAsia="方正黑体_GBK"/>
        </w:rPr>
      </w:pPr>
    </w:p>
    <w:p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0"/>
        <w:jc w:val="center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简要事迹</w:t>
      </w:r>
    </w:p>
    <w:p>
      <w:pPr>
        <w:ind w:firstLineChars="200" w:firstLine="640"/>
        <w:rPr>
          <w:rFonts w:ascii="方正黑体_GBK" w:eastAsia="方正黑体_GBK"/>
        </w:rPr>
      </w:pP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江苏省道教协会成立于1</w:t>
      </w:r>
      <w:r>
        <w:rPr>
          <w:rFonts w:eastAsia="仿宋_GB2312"/>
          <w:color w:val="000000"/>
          <w:sz w:val="32"/>
          <w:szCs w:val="32"/>
        </w:rPr>
        <w:t>993</w:t>
      </w:r>
      <w:r>
        <w:rPr>
          <w:rFonts w:eastAsia="仿宋_GB2312" w:hint="eastAsia"/>
          <w:color w:val="000000"/>
          <w:sz w:val="32"/>
          <w:szCs w:val="32"/>
        </w:rPr>
        <w:t>年。全省现有各级道教团体44个，依法登记设立的道教宫观42处，固定处所132处，经认定备案的道教教职人员843人。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近年来，省道协高举“爱国爱教、团结进步”旗帜，全面贯彻党的宗教工作基本方针，坚持道教中国化方向，践行社会主义核心价值观，弘扬道教优秀文化，着力培养道教人才，为道教发展做出了应有的贡献，也为推进江苏社会和谐和经济发展发挥了积极作用。</w:t>
      </w:r>
    </w:p>
    <w:p>
      <w:pPr>
        <w:pStyle w:val="133"/>
        <w:numPr>
          <w:ilvl w:val="0"/>
          <w:numId w:val="1"/>
        </w:numPr>
        <w:overflowPunct w:val="0"/>
        <w:adjustRightInd w:val="0"/>
        <w:snapToGrid w:val="0"/>
        <w:spacing w:line="560" w:lineRule="exact"/>
        <w:ind w:firstLineChars="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以制度促规范，提升道教界自我管理水平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省道协注重自身建设，抓学习、强班子、建制度，坚持用制度管权管人管事，以制度落实推动工作落地，探索提高做好新形势下道教工作的能力和水平。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优化内设机构，规范工作运行。建立健全四大工作部交流制、月度工作责任分工制，定期召开工作部交流会议和驻会人员办公会，制定年度、月度工作安排表，对重点工作制定详细的阶段性目标和总体时间进度安排，细化明确岗位分工，建立责权明晰的组织结构和分工协作的管理体制，推动团体工作高效运转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强化组织领导，压实扣紧责任。统筹摆布重点任务，明确责任人及责任领导，实行项目化管理、清单制推进、责任化落实机制，确保班子成员责任落到实处。健全领导班子年度述职评议制度，规范述职报告撰写样式，对副会长以上人员实行考核测评，排名靠后的予以诫勉谈话，对连续两年排名末位的，不再列入下届领导班子考察人选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夯实基层基础，加强制度保障。制定出台正一派传度、宫观管理、着装风纪、教职人员认定和管理等教务规范，修订完善功德收入、牌位登记、法事活动等</w:t>
      </w:r>
      <w:r>
        <w:rPr>
          <w:rFonts w:eastAsia="仿宋_GB2312"/>
          <w:color w:val="000000"/>
          <w:sz w:val="32"/>
          <w:szCs w:val="32"/>
        </w:rPr>
        <w:t>18</w:t>
      </w:r>
      <w:r>
        <w:rPr>
          <w:rFonts w:eastAsia="仿宋_GB2312" w:hint="eastAsia"/>
          <w:color w:val="000000"/>
          <w:sz w:val="32"/>
          <w:szCs w:val="32"/>
        </w:rPr>
        <w:t>项宫观管理制度，整理汇编公文处理、档案管理、考勤考核等2</w:t>
      </w:r>
      <w:r>
        <w:rPr>
          <w:rFonts w:eastAsia="仿宋_GB2312"/>
          <w:color w:val="000000"/>
          <w:sz w:val="32"/>
          <w:szCs w:val="32"/>
        </w:rPr>
        <w:t>3</w:t>
      </w:r>
      <w:r>
        <w:rPr>
          <w:rFonts w:eastAsia="仿宋_GB2312" w:hint="eastAsia"/>
          <w:color w:val="000000"/>
          <w:sz w:val="32"/>
          <w:szCs w:val="32"/>
        </w:rPr>
        <w:t>项团体内部规章，构建了系统完备、科学规范、执行有力、监督有效的制度体系。指导基层团体和宫观完善重大问题集体决策等规定，实现团体的自我管理和良性发展。</w:t>
      </w:r>
    </w:p>
    <w:p>
      <w:pPr>
        <w:pStyle w:val="133"/>
        <w:numPr>
          <w:ilvl w:val="0"/>
          <w:numId w:val="1"/>
        </w:numPr>
        <w:overflowPunct w:val="0"/>
        <w:adjustRightInd w:val="0"/>
        <w:snapToGrid w:val="0"/>
        <w:spacing w:line="560" w:lineRule="exact"/>
        <w:ind w:firstLineChars="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以文化促交流，推进道教中国化行稳致远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省道协高度重视文化建设，坚持道教中国化方向，深入挖掘道教文化中有利于社会和谐、时代进步、健康文明的内容，推动新时代道教文化的创造性转化和创新性发展。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高标准、高质量推进《江苏道教史》编纂工程。在省委统战部、省民宗委的支持下，委托南京大学孙亦平教授任总主编，先后多次召开编委会议，研究《江苏道教史》编纂工作。目前，总体编纂方案和各分卷章节目录已审定通过。《江苏道教史》按编年史方式分《两汉六朝卷》《隋唐宋元卷》《明清近现代卷》三卷和《文化成果卷》，总字数约150万字，计划三年期完成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 w:hint="eastAsia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持续开展玄门讲经。自2008年在全国率先举办玄门讲经以来，迄今已连续举办1</w:t>
      </w:r>
      <w:r>
        <w:rPr>
          <w:rFonts w:eastAsia="仿宋_GB2312"/>
          <w:color w:val="000000"/>
          <w:sz w:val="32"/>
          <w:szCs w:val="32"/>
        </w:rPr>
        <w:t>5</w:t>
      </w:r>
      <w:r>
        <w:rPr>
          <w:rFonts w:eastAsia="仿宋_GB2312" w:hint="eastAsia"/>
          <w:color w:val="000000"/>
          <w:sz w:val="32"/>
          <w:szCs w:val="32"/>
        </w:rPr>
        <w:t>届，省道协在讲经机制、主题策划、内容深化、仪规仪范等多个方面，不断总结经验、改革创新，每年编印讲经文集，恢复和完善讲经科仪，制定合理的人才激励制度，引领教内逐步形成了读诵、研习、讲授、实践经典的良好风气。经过各市县道教协会层层推荐，累计选拔了300余名弘法人才，并在全国讲经抄经活动中取得优异成绩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广泛开展文化交流研讨活动。先后举办4届江苏省道教文化艺术节，内容涵盖书画、音乐、摄影、雕刻等众多艺术门类，广邀海内外嘉宾参与，进一步挖掘我省丰厚的道教文化底蕴，多侧面、全方位、大范围地展示了江苏道教近年来的文化建设发展成果。主办或协办第五、六、七届长三角地区道教论坛，促进长三角地区道教的统筹发展。连续举办8届常州横山论坛、4届无锡太湖论道等学术研讨活动，充分展示道教界学术研究的新动态、新视角、新成果，取得了较好的理论成果和宣传效果。</w:t>
      </w:r>
    </w:p>
    <w:p>
      <w:pPr>
        <w:pStyle w:val="133"/>
        <w:numPr>
          <w:ilvl w:val="0"/>
          <w:numId w:val="1"/>
        </w:numPr>
        <w:overflowPunct w:val="0"/>
        <w:adjustRightInd w:val="0"/>
        <w:snapToGrid w:val="0"/>
        <w:spacing w:line="560" w:lineRule="exact"/>
        <w:ind w:firstLineChars="0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以人才促创新，夯实道教高质量发展基石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省道协将人才建设与道教长远发展相结合，高度重视培养爱国爱教的道教界中青年代表人士，研究制定道教人才培养培训的中长期规划，努力推进道教人才建设工作。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加强教职人员队伍建设。省道协将江苏道教学院建设纳入重点工作持续推进，成立江苏省道教人才培训中心和文化艺术中心，将“一学院二中心”作为我省道教培养高素质优秀人才的重要基地。先后举办</w:t>
      </w:r>
      <w:r>
        <w:rPr>
          <w:rFonts w:eastAsia="仿宋_GB2312"/>
          <w:color w:val="000000"/>
          <w:sz w:val="32"/>
          <w:szCs w:val="32"/>
        </w:rPr>
        <w:t>21</w:t>
      </w:r>
      <w:r>
        <w:rPr>
          <w:rFonts w:eastAsia="仿宋_GB2312" w:hint="eastAsia"/>
          <w:color w:val="000000"/>
          <w:sz w:val="32"/>
          <w:szCs w:val="32"/>
        </w:rPr>
        <w:t>次正一派传度法会，共计</w:t>
      </w:r>
      <w:r>
        <w:rPr>
          <w:rFonts w:eastAsia="仿宋_GB2312"/>
          <w:color w:val="000000"/>
          <w:sz w:val="32"/>
          <w:szCs w:val="32"/>
        </w:rPr>
        <w:t>3837</w:t>
      </w:r>
      <w:r>
        <w:rPr>
          <w:rFonts w:eastAsia="仿宋_GB2312" w:hint="eastAsia"/>
          <w:color w:val="000000"/>
          <w:sz w:val="32"/>
          <w:szCs w:val="32"/>
        </w:rPr>
        <w:t>名度生参加，适应和满足了我省正一派道教的信仰需求。开展6批道教教职人员认定，并配合省民宗委开展教职人员基础信息填报和证件换发工作，促进教职人员规范化管理。推荐并选派教职人员参加中国道教协会举办的正一派</w:t>
      </w:r>
      <w:r>
        <w:rPr>
          <w:rFonts w:ascii="方正仿宋_GBK" w:eastAsia="方正仿宋_GBK" w:hint="eastAsia"/>
          <w:color w:val="000000"/>
          <w:sz w:val="32"/>
          <w:szCs w:val="32"/>
        </w:rPr>
        <w:t>初授</w:t>
      </w:r>
      <w:r>
        <w:rPr>
          <w:rFonts w:ascii="方正仿宋_GBK" w:eastAsia="方正仿宋_GBK" w:cs="微软雅黑" w:hint="eastAsia"/>
          <w:color w:val="000000"/>
          <w:sz w:val="32"/>
          <w:szCs w:val="32"/>
        </w:rPr>
        <w:t>箓</w:t>
      </w:r>
      <w:r>
        <w:rPr>
          <w:rFonts w:ascii="方正仿宋_GBK" w:eastAsia="方正仿宋_GBK" w:cs="仿宋_GB2312" w:hint="eastAsia"/>
          <w:color w:val="000000"/>
          <w:sz w:val="32"/>
          <w:szCs w:val="32"/>
        </w:rPr>
        <w:t>、升授</w:t>
      </w:r>
      <w:r>
        <w:rPr>
          <w:rFonts w:ascii="方正仿宋_GBK" w:eastAsia="方正仿宋_GBK" w:cs="微软雅黑" w:hint="eastAsia"/>
          <w:color w:val="000000"/>
          <w:sz w:val="32"/>
          <w:szCs w:val="32"/>
        </w:rPr>
        <w:t>箓</w:t>
      </w:r>
      <w:r>
        <w:rPr>
          <w:rFonts w:ascii="方正仿宋_GBK" w:eastAsia="方正仿宋_GBK" w:cs="仿宋_GB2312" w:hint="eastAsia"/>
          <w:color w:val="000000"/>
          <w:sz w:val="32"/>
          <w:szCs w:val="32"/>
        </w:rPr>
        <w:t>以</w:t>
      </w:r>
      <w:r>
        <w:rPr>
          <w:rFonts w:eastAsia="仿宋_GB2312" w:cs="仿宋_GB2312" w:hint="eastAsia"/>
          <w:color w:val="000000"/>
          <w:sz w:val="32"/>
          <w:szCs w:val="32"/>
        </w:rPr>
        <w:t>及全</w:t>
      </w:r>
      <w:r>
        <w:rPr>
          <w:rFonts w:ascii="仿宋_GB2312" w:eastAsia="仿宋_GB2312" w:cs="仿宋_GB2312" w:hint="eastAsia"/>
          <w:color w:val="000000"/>
          <w:sz w:val="32"/>
          <w:szCs w:val="32"/>
        </w:rPr>
        <w:t>真派传戒等教务活动</w:t>
      </w:r>
      <w:r>
        <w:rPr>
          <w:rFonts w:eastAsia="仿宋_GB2312" w:hint="eastAsia"/>
          <w:color w:val="000000"/>
          <w:sz w:val="32"/>
          <w:szCs w:val="32"/>
        </w:rPr>
        <w:t>100余人次。</w:t>
      </w:r>
    </w:p>
    <w:p>
      <w:pPr>
        <w:overflowPunct w:val="0"/>
        <w:adjustRightInd w:val="0"/>
        <w:snapToGrid w:val="0"/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健全后备人才的选拔、培养和使用机制。吸纳青年人才进入省道协理事会或成为监事，改善领导班子队伍老化、年龄结构断档断层的问题，做好传帮带工作。在新设4个部门中广泛吸收80后、90后教职人员，以岗代训，在实践中锻炼和培养人才。制定人才引育奖励措施，对外省引进或自主培养的符合条件的教职人员，予以一定的奖励补贴。对从事文化研究、公益慈善、讲经交流或其他领域，并对江苏道教发展做出较大贡献的人才，予以物质激励、通报表扬、纳入省道协领导班子考察对象等相应奖励。</w:t>
      </w:r>
    </w:p>
    <w:p>
      <w:pPr>
        <w:ind w:firstLineChars="200" w:firstLine="640"/>
        <w:rPr>
          <w:rFonts w:ascii="方正黑体_GBK" w:eastAsia="方正黑体_GBK" w:hint="eastAsia"/>
        </w:rPr>
      </w:pPr>
      <w:r>
        <w:rPr>
          <w:rFonts w:eastAsia="仿宋_GB2312" w:hint="eastAsia"/>
          <w:color w:val="000000"/>
          <w:sz w:val="32"/>
          <w:szCs w:val="32"/>
        </w:rPr>
        <w:t>建设研究型人才队伍。举办横山论坛、太湖论道、方山论坛等学术研讨会，与省内外专家学者形成良好的互动机制，创造优质学习交流平台，一批青年研究型人才脱颖而出，出版多部道教学术专著，在《江苏道教史》编纂工作中充分发挥作用，成为道教研究的行家里手。通过举办玄门讲经，发现和培养了一批弘法人才，2</w:t>
      </w:r>
      <w:r>
        <w:rPr>
          <w:rFonts w:eastAsia="仿宋_GB2312"/>
          <w:color w:val="000000"/>
          <w:sz w:val="32"/>
          <w:szCs w:val="32"/>
        </w:rPr>
        <w:t>021</w:t>
      </w:r>
      <w:r>
        <w:rPr>
          <w:rFonts w:eastAsia="仿宋_GB2312" w:hint="eastAsia"/>
          <w:color w:val="000000"/>
          <w:sz w:val="32"/>
          <w:szCs w:val="32"/>
        </w:rPr>
        <w:t>年我省推荐的教职人员在全国讲经比赛中取得第1名。</w:t>
      </w:r>
    </w:p>
    <w:sectPr>
      <w:footerReference w:type="default" r:id="rId2"/>
      <w:footerReference w:type="even" r:id="rId3"/>
      <w:pgSz w:w="11907" w:h="16840"/>
      <w:pgMar w:top="2098" w:right="1361" w:bottom="1985" w:left="1531" w:header="851" w:footer="1418" w:gutter="0"/>
      <w:pgNumType/>
      <w:docGrid w:type="lines"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小标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variable"/>
    <w:sig w:usb0="A00002BF" w:usb1="38CF7CFA" w:usb2="00082016" w:usb3="00000000" w:csb0="00040001" w:csb1="00000000"/>
  </w:font>
  <w:font w:name="仿宋_GB2312">
    <w:altName w:val="仿宋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黑体">
    <w:panose1 w:val="02010600030101010101"/>
    <w:charset w:val="86"/>
    <w:family w:val="auto"/>
    <w:pitch w:val="variable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altName w:val="DejaVu Sans"/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enter" w:pos="4153"/>
        <w:tab w:val="right" w:pos="8307"/>
      </w:tabs>
      <w:spacing w:line="200" w:lineRule="exact"/>
      <w:ind w:rightChars="100" w:right="320"/>
      <w:jc w:val="right"/>
      <w:rPr>
        <w:rFonts w:ascii="宋体" w:eastAsia="宋体"/>
        <w:sz w:val="28"/>
        <w:szCs w:val="28"/>
      </w:rPr>
    </w:pPr>
    <w:r>
      <w:rPr>
        <w:sz w:val="28"/>
      </w:rPr>
      <w:tab/>
    </w:r>
  </w:p>
  <w:p>
    <w:pPr>
      <w:pStyle w:val="16"/>
      <w:tabs>
        <w:tab w:val="center" w:pos="4153"/>
        <w:tab w:val="right" w:pos="8307"/>
      </w:tabs>
      <w:wordWrap w:val="0"/>
      <w:spacing w:line="240" w:lineRule="auto"/>
      <w:ind w:rightChars="100" w:right="320"/>
      <w:jc w:val="right"/>
      <w:rPr>
        <w:rFonts w:ascii="宋体" w:eastAsia="宋体" w:hint="eastAsia"/>
        <w:sz w:val="28"/>
      </w:rPr>
    </w:pPr>
    <w:r>
      <w:rPr>
        <w:rFonts w:ascii="宋体" w:eastAsia="宋体" w:hint="eastAsia"/>
        <w:sz w:val="28"/>
        <w:szCs w:val="28"/>
      </w:rPr>
      <w:t>-</w:t>
    </w:r>
    <w:r>
      <w:rPr>
        <w:rFonts w:ascii="宋体" w:eastAsia="宋体"/>
        <w:sz w:val="28"/>
        <w:szCs w:val="28"/>
      </w:rPr>
      <w:t xml:space="preserve"> </w:t>
    </w:r>
    <w:r>
      <w:rPr>
        <w:rFonts w:ascii="宋体" w:eastAsia="宋体" w:hint="eastAsia"/>
        <w:sz w:val="28"/>
        <w:szCs w:val="28"/>
      </w:rPr>
      <w:fldChar w:fldCharType="begin"/>
    </w:r>
    <w:r>
      <w:rPr>
        <w:rFonts w:ascii="宋体" w:eastAsia="宋体" w:hint="eastAsia"/>
        <w:sz w:val="28"/>
        <w:szCs w:val="28"/>
      </w:rPr>
      <w:instrText>Page</w:instrText>
    </w:r>
    <w:r>
      <w:rPr>
        <w:rFonts w:ascii="宋体" w:eastAsia="宋体" w:hint="eastAsia"/>
        <w:sz w:val="28"/>
        <w:szCs w:val="28"/>
      </w:rPr>
      <w:fldChar w:fldCharType="separate"/>
    </w:r>
    <w:r>
      <w:rPr>
        <w:rFonts w:ascii="宋体" w:eastAsia="宋体" w:hint="eastAsia"/>
        <w:sz w:val="28"/>
        <w:szCs w:val="28"/>
      </w:rPr>
      <w:t>1</w:t>
    </w:r>
    <w:r>
      <w:rPr>
        <w:rFonts w:ascii="宋体" w:eastAsia="宋体" w:hint="eastAsia"/>
        <w:sz w:val="28"/>
        <w:szCs w:val="28"/>
      </w:rPr>
      <w:fldChar w:fldCharType="end"/>
    </w:r>
    <w:r>
      <w:rPr>
        <w:rFonts w:ascii="宋体" w:eastAsia="宋体"/>
        <w:sz w:val="28"/>
        <w:szCs w:val="28"/>
      </w:rPr>
      <w:t xml:space="preserve"> </w:t>
    </w:r>
    <w:r>
      <w:rPr>
        <w:rFonts w:ascii="宋体" w:eastAsia="宋体" w:hint="eastAsia"/>
        <w:sz w:val="28"/>
        <w:szCs w:val="28"/>
      </w:rPr>
      <w:t>-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tabs>
        <w:tab w:val="center" w:pos="4153"/>
        <w:tab w:val="right" w:pos="8307"/>
      </w:tabs>
      <w:spacing w:line="200" w:lineRule="exact"/>
      <w:ind w:leftChars="100" w:left="320"/>
      <w:rPr>
        <w:rFonts w:ascii="宋体" w:eastAsia="宋体"/>
        <w:sz w:val="28"/>
        <w:szCs w:val="28"/>
      </w:rPr>
    </w:pPr>
  </w:p>
  <w:p>
    <w:pPr>
      <w:pStyle w:val="16"/>
      <w:tabs>
        <w:tab w:val="center" w:pos="4153"/>
        <w:tab w:val="right" w:pos="8307"/>
      </w:tabs>
      <w:spacing w:line="240" w:lineRule="auto"/>
      <w:ind w:leftChars="100" w:left="320"/>
      <w:rPr>
        <w:rFonts w:ascii="宋体" w:eastAsia="宋体" w:hint="eastAsia"/>
        <w:sz w:val="28"/>
      </w:rPr>
    </w:pPr>
    <w:r>
      <w:rPr>
        <w:rFonts w:ascii="宋体" w:eastAsia="宋体" w:hint="eastAsia"/>
        <w:sz w:val="28"/>
        <w:szCs w:val="28"/>
      </w:rPr>
      <w:t>-</w:t>
    </w:r>
    <w:r>
      <w:rPr>
        <w:rFonts w:ascii="宋体" w:eastAsia="宋体"/>
        <w:sz w:val="28"/>
        <w:szCs w:val="28"/>
      </w:rPr>
      <w:t xml:space="preserve"> </w:t>
    </w:r>
    <w:r>
      <w:rPr>
        <w:rFonts w:ascii="宋体" w:eastAsia="宋体" w:hint="eastAsia"/>
        <w:sz w:val="28"/>
        <w:szCs w:val="28"/>
      </w:rPr>
      <w:fldChar w:fldCharType="begin"/>
    </w:r>
    <w:r>
      <w:rPr>
        <w:rFonts w:ascii="宋体" w:eastAsia="宋体" w:hint="eastAsia"/>
        <w:sz w:val="28"/>
        <w:szCs w:val="28"/>
      </w:rPr>
      <w:instrText>Page</w:instrText>
    </w:r>
    <w:r>
      <w:rPr>
        <w:rFonts w:ascii="宋体" w:eastAsia="宋体" w:hint="eastAsia"/>
        <w:sz w:val="28"/>
        <w:szCs w:val="28"/>
      </w:rPr>
      <w:fldChar w:fldCharType="separate"/>
    </w:r>
    <w:r>
      <w:rPr>
        <w:rFonts w:ascii="宋体" w:eastAsia="宋体" w:hint="eastAsia"/>
        <w:sz w:val="28"/>
        <w:szCs w:val="28"/>
      </w:rPr>
      <w:t>2</w:t>
    </w:r>
    <w:r>
      <w:rPr>
        <w:rFonts w:ascii="宋体" w:eastAsia="宋体" w:hint="eastAsia"/>
        <w:sz w:val="28"/>
        <w:szCs w:val="28"/>
      </w:rPr>
      <w:fldChar w:fldCharType="end"/>
    </w:r>
    <w:r>
      <w:rPr>
        <w:rFonts w:ascii="宋体" w:eastAsia="宋体"/>
        <w:sz w:val="28"/>
        <w:szCs w:val="28"/>
      </w:rPr>
      <w:t xml:space="preserve"> </w:t>
    </w:r>
    <w:r>
      <w:rPr>
        <w:rFonts w:ascii="宋体" w:eastAsia="宋体" w:hint="eastAsia"/>
        <w:sz w:val="28"/>
        <w:szCs w:val="28"/>
      </w:rPr>
      <w:t>-</w: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5470153D"/>
    <w:multiLevelType w:val="hybridMultilevel"/>
    <w:tmpl w:val="86CE2722"/>
    <w:lvl w:ilvl="0">
      <w:start w:val="1"/>
      <w:numFmt w:val="chineseCountingThousand"/>
      <w:lvlRestart w:val="0"/>
      <w:suff w:val="space"/>
      <w:lvlText w:val="%1、"/>
      <w:lvlJc w:val="left"/>
      <w:pPr>
        <w:tabs>
          <w:tab w:val="num" w:pos="0"/>
        </w:tabs>
        <w:ind w:left="1270" w:hanging="63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80" w:hanging="42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900" w:hanging="42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320" w:hanging="42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740" w:hanging="42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160" w:hanging="42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580" w:hanging="42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4000" w:hanging="42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4420" w:hanging="420"/>
      </w:p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evenAndOddHeaders/>
  <w:drawingGridHorizontalSpacing w:val="160"/>
  <w:drawingGridVerticalSpacing w:val="217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useAltKinsokuLineBreakRules/>
    <w:splitPgBreakAndParaMark/>
    <w:compatSetting w:name="compatibilityMode" w:uri="http://schemas.microsoft.com/office/word" w:val="14"/>
  </w:compat>
  <w:docVar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578" w:lineRule="exact"/>
      <w:jc w:val="both"/>
    </w:pPr>
    <w:rPr>
      <w:rFonts w:ascii="Times New Roman" w:eastAsia="仿宋_GB2312" w:cs="Times New Roman" w:hAnsi="Times New Roman"/>
      <w:kern w:val="2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Arial" w:eastAsia="黑体" w:hAnsi="Arial"/>
      <w:b/>
      <w:sz w:val="20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20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</w:rPr>
  </w:style>
  <w:style w:type="paragraph" w:styleId="16">
    <w:name w:val="footer"/>
    <w:basedOn w:val="0"/>
    <w:pPr>
      <w:tabs>
        <w:tab w:val="center" w:pos="4153"/>
        <w:tab w:val="right" w:pos="8307"/>
      </w:tabs>
      <w:snapToGrid w:val="0"/>
      <w:jc w:val="left"/>
    </w:pPr>
    <w:rPr>
      <w:sz w:val="18"/>
    </w:rPr>
  </w:style>
  <w:style w:type="character" w:styleId="17">
    <w:name w:val="page number"/>
    <w:basedOn w:val="10"/>
  </w:style>
  <w:style w:type="paragraph" w:styleId="20">
    <w:name w:val="index 7"/>
    <w:basedOn w:val="0"/>
    <w:autoRedefine/>
    <w:next w:val="0"/>
    <w:pPr>
      <w:ind w:left="2520"/>
    </w:pPr>
  </w:style>
  <w:style w:type="character" w:styleId="87">
    <w:name w:val="Strong"/>
    <w:rPr>
      <w:b/>
    </w:rPr>
  </w:style>
  <w:style w:type="paragraph" w:styleId="92">
    <w:name w:val="Normal (Web)"/>
    <w:next w:val="19"/>
    <w:pPr>
      <w:widowControl w:val="0"/>
      <w:spacing w:before="100" w:beforeAutospacing="1" w:after="100" w:afterAutospacing="1" w:line="240" w:lineRule="auto"/>
      <w:jc w:val="left"/>
    </w:pPr>
    <w:rPr>
      <w:rFonts w:ascii="宋体" w:eastAsia="宋体" w:cs="Times New Roman"/>
      <w:kern w:val="2"/>
      <w:sz w:val="24"/>
      <w:szCs w:val="21"/>
      <w:lang w:val="en-US" w:eastAsia="zh-CN" w:bidi="ar-SA"/>
    </w:rPr>
  </w:style>
  <w:style w:type="paragraph" w:customStyle="1" w:styleId="133">
    <w:name w:val="List Paragraph"/>
    <w:basedOn w:val="0"/>
    <w:pPr>
      <w:widowControl w:val="0"/>
      <w:ind w:firstLineChars="200" w:firstLine="200"/>
      <w:jc w:val="both"/>
    </w:pPr>
    <w:rPr>
      <w:rFonts w:ascii="Times New Roman" w:eastAsia="宋体" w:cs="Times New Roman" w:hAnsi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styles" Target="styles.xml"/><Relationship Id="rId5" Type="http://schemas.openxmlformats.org/officeDocument/2006/relationships/numbering" Target="numbering.xml"/><Relationship Id="rId6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67</TotalTime>
  <Application>Yozo_Office27021597764231179</Application>
  <Pages>5</Pages>
  <Words>2471</Words>
  <Characters>2502</Characters>
  <Lines>106</Lines>
  <Paragraphs>24</Paragraphs>
  <CharactersWithSpaces>2505</CharactersWithSpaces>
  <Company>zjj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user</dc:creator>
  <cp:lastModifiedBy>lx</cp:lastModifiedBy>
  <cp:revision>1</cp:revision>
  <dcterms:created xsi:type="dcterms:W3CDTF">2022-10-12T02:10:50Z</dcterms:created>
  <dcterms:modified xsi:type="dcterms:W3CDTF">2022-10-12T03:14:18Z</dcterms:modified>
</cp:coreProperties>
</file>